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Электронная коммерция</w:t>
            </w:r>
          </w:p>
          <w:p>
            <w:pPr>
              <w:jc w:val="center"/>
              <w:spacing w:after="0" w:line="240" w:lineRule="auto"/>
              <w:rPr>
                <w:sz w:val="32"/>
                <w:szCs w:val="32"/>
              </w:rPr>
            </w:pPr>
            <w:r>
              <w:rPr>
                <w:rFonts w:ascii="Times New Roman" w:hAnsi="Times New Roman" w:cs="Times New Roman"/>
                <w:color w:val="#000000"/>
                <w:sz w:val="32"/>
                <w:szCs w:val="32"/>
              </w:rPr>
              <w:t> К.М.01.ДВ.01.01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«Электронная коммерция»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К.М.01.ДВ.01.01 «Электронная коммерция».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«Электронная коммерция»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ПК-12</w:t>
            </w:r>
          </w:p>
          <w:p>
            <w:pPr>
              <w:jc w:val="left"/>
              <w:spacing w:after="0" w:line="240" w:lineRule="auto"/>
              <w:rPr>
                <w:sz w:val="24"/>
                <w:szCs w:val="24"/>
              </w:rPr>
            </w:pPr>
            <w:r>
              <w:rPr>
                <w:rFonts w:ascii="Times New Roman" w:hAnsi="Times New Roman" w:cs="Times New Roman"/>
                <w:b/>
                <w:color w:val="#000000"/>
                <w:sz w:val="24"/>
                <w:szCs w:val="24"/>
              </w:rPr>
              <w:t> Способность настраивать, эксплуатировать и сопровождать информационные системы и сервисы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ИПК-12.11 владеть подходами к информированию заказчика о возможностях типовой ИС и типовых технологиях ее создания (модификации) и ввода в эксплуатацию, подходами к инициированию запросов заказчика на изменения (в том числе запросов на корректирующие действия, на предупреждающие действия, на исправление несоответствий), правила деловой переписки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Способность проводить обследование организаций, выявлять информационные потребности пользователей, формировать требования к информационной системе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ИПК-6.1 знать возможности ИС, предметную область автоматизации; архитектуру, устройство и функционирование вычислительных систем, сетевые протоколы, основы современных операционных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ИПК-6.2 знать основы современных систем управления базами данных, современные стандарты информационного взаимодействия систем; основы менеджмента, в том числе менеджмента качества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ИПК-6.3 знать основы управленческого учета, основы теории управления, основы управления торговлей, поставками и запасами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ИПК-6.5 уметь применять программные средства и платформы инфраструктуры информационных технологий организаций, применять основы теории систем и системного анализа применять методики описания и моделирования бизнес-процессов, средства моделирования бизнес-процессов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ИПК-6.6 уметь применять системы классификации и кодирования информации, в том числе присвоение кодов документам и элементам справочников, описывать формирование и механизмы рыночных процессов организации, применять основы бухгалтерского учета и отчетности организаций</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ИПК-6.7 уметь применять основы организации производства, применять основы управления персоналом, включая вопросы оплаты труда, применять основы организационной диагностики, внедрять инструменты и методы определения финансовых и производственных показателей деятельности организаций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ИПК-6.8 владеть инструментами и методами выявления требований, методами анализа современных подходов и стандартов автоматизации организации (например, CRM, MRP, ERP…, ITIL, ITSM)</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ИПК-6.9 владеть навыками работы с отраслевой нормативно - технической документацией, навыками работы с источниками информации, необходимой для профессиональной деятельности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ИПК-6.10 владеть навыками работы для современного отечественного и зарубежного опыта в профессиональной деятельности, современные инструменты и методы управления организацией, в том числе методы планирования деятельности, распределения поручений, контроля исполнения, принятия решений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ИПК-6.11 владеть методами управления взаимоотношениями с клиентами и заказчиками (CRM), инструменты и методы моделирования бизнес-процессов организации</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ИПК-6.12 владеть методами управления содержанием проекта: документирование требований, анализ продукта, моде-рируемые совещания; основами реинжиниринга бизнес-процессов организации, методологией ведения документооборота в организациях</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К.М.01.ДВ.01.01 «Электронная коммерция» относится к обязательной части, является дисциплиной Блока Б1. «Дисциплины (модули)». Модуль "Проектирование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 в сфере информационных технологий</w:t>
            </w:r>
          </w:p>
          <w:p>
            <w:pPr>
              <w:jc w:val="center"/>
              <w:spacing w:after="0" w:line="240" w:lineRule="auto"/>
              <w:rPr>
                <w:sz w:val="22"/>
                <w:szCs w:val="22"/>
              </w:rPr>
            </w:pPr>
            <w:r>
              <w:rPr>
                <w:rFonts w:ascii="Times New Roman" w:hAnsi="Times New Roman" w:cs="Times New Roman"/>
                <w:color w:val="#000000"/>
                <w:sz w:val="22"/>
                <w:szCs w:val="22"/>
              </w:rPr>
              <w:t> Интегрированные маркетинговые коммуникации в продвижении информационных продуктов и услуг</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Мировые информационные ресурсы</w:t>
            </w:r>
          </w:p>
          <w:p>
            <w:pPr>
              <w:jc w:val="center"/>
              <w:spacing w:after="0" w:line="240" w:lineRule="auto"/>
              <w:rPr>
                <w:sz w:val="22"/>
                <w:szCs w:val="22"/>
              </w:rPr>
            </w:pPr>
            <w:r>
              <w:rPr>
                <w:rFonts w:ascii="Times New Roman" w:hAnsi="Times New Roman" w:cs="Times New Roman"/>
                <w:color w:val="#000000"/>
                <w:sz w:val="22"/>
                <w:szCs w:val="22"/>
              </w:rPr>
              <w:t> Информационный менеджмент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ПК-6, ПК-12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010.771"/>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Роль и место электронной коммерции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Классификаторы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предмет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Стандарты, регламентирующие работу с данными, используемыми для формирования электронных сообщений.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Коммерция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Автоматизированные системы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эффективности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систем, пользователей и объектов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оценки эффективности систем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систем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Платежные системы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319.5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электронной коммерции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определения. Предмет электронной коммерции. Электронная Прикладная информатика в экономике и в современном мире. Связ. коммерческой деятельности и ИКТ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Классификаторы информации.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 формы информации. Современные форматы. Система электронного обмена данными в управлении, торговле и на транспорте. Формат электронных сообщений.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эффективности электронной коммерции.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эффективности вложений в информационные технологии. категориальный аппарат эффективности электронной коммерции. Варитивность систем исчисления. Формы эффективности.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систем, пользователей и объектов электронной коммерции.</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и характеристика существующих платежных систем. Отечественные и зарубежные платежные системы. Основы взаимодействия и дифференциация. Приоритет отечественного ПО.</w:t>
            </w:r>
          </w:p>
        </w:tc>
      </w:tr>
      <w:tr>
        <w:trPr>
          <w:trHeight w:hRule="exact" w:val="277.832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предмет</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возникновения  и этапы развития электронной коммерции. Воздействие развития электронной коммерции на экономику.</w:t>
            </w:r>
          </w:p>
        </w:tc>
      </w:tr>
      <w:tr>
        <w:trPr>
          <w:trHeight w:hRule="exact" w:val="14.70006"/>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Стандарты, регламентирующие работу с данными, используемыми для формирования электронных сообщений.</w:t>
            </w:r>
          </w:p>
        </w:tc>
      </w:tr>
      <w:tr>
        <w:trPr>
          <w:trHeight w:hRule="exact" w:val="555.65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Штриховое кодирование. Системы шифрования информации. Алгоритмы и моделирование. Сравнительная характеристика отечественных и зарубежных стандартов.</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оценки эффективности систем электронной коммерции.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оценки эффективности системы безопасности электронной коммерции. Банковские системы безопасности. Основные способы предотвращения мошеннических действий на рынке электронных финансовых услуг.</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систем электронной коммерции.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Российские платежные системы. Достоинства и недостатки отечественных платежных систем, перспективы развития в аспекте сочетания с развитием банковских продуктов.</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«Электронная коммерция»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коммерческой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электронная</w:t>
            </w:r>
            <w:r>
              <w:rPr/>
              <w:t xml:space="preserve"> </w:t>
            </w:r>
            <w:r>
              <w:rPr>
                <w:rFonts w:ascii="Times New Roman" w:hAnsi="Times New Roman" w:cs="Times New Roman"/>
                <w:color w:val="#000000"/>
                <w:sz w:val="24"/>
                <w:szCs w:val="24"/>
              </w:rPr>
              <w:t>коммерция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https://urait.ru/bcode/442318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Электронная</w:t>
            </w:r>
            <w:r>
              <w:rPr/>
              <w:t xml:space="preserve"> </w:t>
            </w:r>
            <w:r>
              <w:rPr>
                <w:rFonts w:ascii="Times New Roman" w:hAnsi="Times New Roman" w:cs="Times New Roman"/>
                <w:color w:val="#000000"/>
                <w:sz w:val="24"/>
                <w:szCs w:val="24"/>
              </w:rPr>
              <w:t>коммерция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https://urait.ru/bcode/399604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Электронная</w:t>
            </w:r>
            <w:r>
              <w:rPr/>
              <w:t xml:space="preserve"> </w:t>
            </w:r>
            <w:r>
              <w:rPr>
                <w:rFonts w:ascii="Times New Roman" w:hAnsi="Times New Roman" w:cs="Times New Roman"/>
                <w:color w:val="#000000"/>
                <w:sz w:val="24"/>
                <w:szCs w:val="24"/>
              </w:rPr>
              <w:t>коммерция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978-5-534-11785-1.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https://urait.ru/bcode/446579</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коммерческой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электронная</w:t>
            </w:r>
            <w:r>
              <w:rPr/>
              <w:t xml:space="preserve"> </w:t>
            </w:r>
            <w:r>
              <w:rPr>
                <w:rFonts w:ascii="Times New Roman" w:hAnsi="Times New Roman" w:cs="Times New Roman"/>
                <w:color w:val="#000000"/>
                <w:sz w:val="24"/>
                <w:szCs w:val="24"/>
              </w:rPr>
              <w:t>коммерция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978-5-534-07817-6.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https://urait.ru/bcode/423801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81.78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2024-2025_ФГОС3++2024_Бак-ОФО-ПИ(24)_plx_Электронная коммерция_11111111</dc:title>
  <dc:creator>FastReport.NET</dc:creator>
</cp:coreProperties>
</file>